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8D464" w14:textId="77777777" w:rsidR="00DE1268" w:rsidRDefault="00464E74">
      <w:pPr>
        <w:pStyle w:val="berschrift3"/>
      </w:pPr>
      <w:bookmarkStart w:id="0" w:name="pT9neQDYLZ"/>
      <w:bookmarkStart w:id="1" w:name="_GoBack"/>
      <w:bookmarkEnd w:id="1"/>
      <w:r>
        <w:rPr>
          <w:b/>
        </w:rPr>
        <w:t>Verzeichnis der Verarbeitungstätigkeiten, Art. 30 DSGVO</w:t>
      </w:r>
      <w:bookmarkEnd w:id="0"/>
    </w:p>
    <w:p w14:paraId="0178D60D" w14:textId="77777777" w:rsidR="00DE1268" w:rsidRDefault="00DE1268"/>
    <w:p w14:paraId="13B85C69" w14:textId="77777777" w:rsidR="00DE1268" w:rsidRDefault="00464E74">
      <w:r>
        <w:rPr>
          <w:b/>
        </w:rPr>
        <w:t>Name des Verfahrens:</w:t>
      </w:r>
      <w:r>
        <w:t xml:space="preserve"> Einsatz von IServ</w:t>
      </w:r>
    </w:p>
    <w:p w14:paraId="22BDD7A7" w14:textId="77777777" w:rsidR="00DE1268" w:rsidRDefault="00DE1268"/>
    <w:p w14:paraId="6806E6CA" w14:textId="77777777" w:rsidR="00DE1268" w:rsidRDefault="00464E74">
      <w:r>
        <w:rPr>
          <w:b/>
        </w:rPr>
        <w:t xml:space="preserve">1. Verarbeitungstätigkeit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5E9D1F5B"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BD0AFA8" w14:textId="77777777" w:rsidR="00DE1268" w:rsidRDefault="00DE1268"/>
          <w:p w14:paraId="3FEFA123" w14:textId="77777777" w:rsidR="00DE1268" w:rsidRDefault="00464E74">
            <w:r>
              <w:t>Bei der Nutzung von IServ werden personenbezogene Daten der Schülerinnen und Schüler sowie Lehrkräfte verarbeitet, um den Unterricht digital zu unterstützen. Die Nutzenden haben Zugriff auf eigene Daten sowie auf innerhalb einer Gruppe bzw. Klassengemeinsc</w:t>
            </w:r>
            <w:r>
              <w:t>haft, der sie angehören, geteilte Daten.</w:t>
            </w:r>
          </w:p>
          <w:p w14:paraId="6705A523" w14:textId="77777777" w:rsidR="00DE1268" w:rsidRDefault="00DE1268"/>
        </w:tc>
      </w:tr>
    </w:tbl>
    <w:p w14:paraId="4CC8D8A0" w14:textId="77777777" w:rsidR="00DE1268" w:rsidRDefault="00DE1268"/>
    <w:p w14:paraId="502B418C" w14:textId="77777777" w:rsidR="00DE1268" w:rsidRDefault="00464E74">
      <w:r>
        <w:rPr>
          <w:b/>
        </w:rPr>
        <w:t>2. Zwecke der Verarbeitung</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12EBBD5C"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7E8661" w14:textId="77777777" w:rsidR="00DE1268" w:rsidRDefault="00DE1268"/>
          <w:p w14:paraId="5EF60E01" w14:textId="77777777" w:rsidR="00DE1268" w:rsidRDefault="00464E74">
            <w:r>
              <w:t>Bereitstellung und Nutzung einer Austausch- und Kommunikationsplattform beispielsweise für das Verteilen von Unterrichtsmaterialien, das Bearbeiten von Hausaufgaben und die Ermöglichun</w:t>
            </w:r>
            <w:r>
              <w:t>g von (asynchronen) Fragen, Antworten und Feedback sowie die Teilnahme an Videokonferenzen.</w:t>
            </w:r>
          </w:p>
          <w:p w14:paraId="24D4CDE6" w14:textId="77777777" w:rsidR="00DE1268" w:rsidRDefault="00DE1268"/>
        </w:tc>
      </w:tr>
    </w:tbl>
    <w:p w14:paraId="78CC2CDD" w14:textId="77777777" w:rsidR="00DE1268" w:rsidRDefault="00DE1268"/>
    <w:p w14:paraId="4BE20E33" w14:textId="77777777" w:rsidR="00DE1268" w:rsidRDefault="00464E74">
      <w:r>
        <w:rPr>
          <w:b/>
        </w:rPr>
        <w:t>3. Rechtsgrundlage für die Verarbeitung</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0232E56E"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A47945E" w14:textId="77777777" w:rsidR="00DE1268" w:rsidRDefault="00DE1268"/>
          <w:p w14:paraId="6713ABD1" w14:textId="77777777" w:rsidR="00DE1268" w:rsidRDefault="00464E74">
            <w:r>
              <w:t xml:space="preserve">Die Verarbeitung der personenbezogenen Daten ist nach Art. 6 Abs. 1 lit. c DSGVO </w:t>
            </w:r>
            <w:r>
              <w:t xml:space="preserve">i.V.m. </w:t>
            </w:r>
            <w:r>
              <w:t>§§ 30 Abs. 1 und 2, 4, 4a SchulG i.V.m. § 4 SchulDSVO mit den in § 11 Abs. 4 SchulDSVO festgelegten Beschränkungen für pädagogische Systeme zulässig.</w:t>
            </w:r>
          </w:p>
          <w:p w14:paraId="0C364172" w14:textId="77777777" w:rsidR="00DE1268" w:rsidRDefault="00464E74">
            <w:r>
              <w:t>Die Verarbeitung im Rahmen der Auftragsverarbeitung ist nach Maßgabe des § 12 SchulDSVO zulässig.</w:t>
            </w:r>
          </w:p>
          <w:p w14:paraId="18795808" w14:textId="77777777" w:rsidR="00DE1268" w:rsidRDefault="00DE1268"/>
        </w:tc>
      </w:tr>
    </w:tbl>
    <w:p w14:paraId="75985B1D" w14:textId="77777777" w:rsidR="00DE1268" w:rsidRDefault="00DE1268"/>
    <w:p w14:paraId="70EC638B" w14:textId="77777777" w:rsidR="00DE1268" w:rsidRDefault="00464E74">
      <w:r>
        <w:rPr>
          <w:b/>
        </w:rPr>
        <w:t>4. Be</w:t>
      </w:r>
      <w:r>
        <w:rPr>
          <w:b/>
        </w:rPr>
        <w:t>schreibung der Kategorien betroffener Personen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6CCD867A"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7B3AD94" w14:textId="77777777" w:rsidR="00DE1268" w:rsidRDefault="00DE1268"/>
          <w:p w14:paraId="0316D7C4" w14:textId="77777777" w:rsidR="00DE1268" w:rsidRDefault="00464E74">
            <w:r>
              <w:t>Schülerinnen und Schüler, Lehrkräfte, Lehrkräfte im Vorbereitungsdienst</w:t>
            </w:r>
          </w:p>
          <w:p w14:paraId="1E603B3E" w14:textId="77777777" w:rsidR="00DE1268" w:rsidRDefault="00DE1268"/>
        </w:tc>
      </w:tr>
    </w:tbl>
    <w:p w14:paraId="23ACD5B5" w14:textId="77777777" w:rsidR="00DE1268" w:rsidRDefault="00DE1268"/>
    <w:p w14:paraId="388F3D12" w14:textId="77777777" w:rsidR="00DE1268" w:rsidRDefault="00464E74">
      <w:r>
        <w:rPr>
          <w:b/>
        </w:rPr>
        <w:t xml:space="preserve">5. Beschreibung der Kategorien </w:t>
      </w:r>
      <w:r>
        <w:rPr>
          <w:b/>
        </w:rPr>
        <w:t>personenbezogener Daten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35D03F12"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79550AE" w14:textId="77777777" w:rsidR="00DE1268" w:rsidRDefault="00DE1268"/>
          <w:p w14:paraId="2644F58F" w14:textId="77777777" w:rsidR="00DE1268" w:rsidRDefault="00464E74">
            <w:pPr>
              <w:numPr>
                <w:ilvl w:val="0"/>
                <w:numId w:val="14"/>
              </w:numPr>
              <w:ind w:firstLine="0"/>
            </w:pPr>
            <w:r>
              <w:t>Vor- und Nachname</w:t>
            </w:r>
          </w:p>
          <w:p w14:paraId="3E8D3A54" w14:textId="77777777" w:rsidR="00DE1268" w:rsidRDefault="00464E74">
            <w:pPr>
              <w:numPr>
                <w:ilvl w:val="0"/>
                <w:numId w:val="14"/>
              </w:numPr>
              <w:ind w:firstLine="0"/>
            </w:pPr>
            <w:r>
              <w:t>interne Email-Adresse</w:t>
            </w:r>
          </w:p>
          <w:p w14:paraId="4B037804" w14:textId="77777777" w:rsidR="00DE1268" w:rsidRDefault="00464E74">
            <w:pPr>
              <w:numPr>
                <w:ilvl w:val="0"/>
                <w:numId w:val="14"/>
              </w:numPr>
              <w:ind w:firstLine="0"/>
            </w:pPr>
            <w:r>
              <w:t>Gruppen-/Klassenzugehörigkeit</w:t>
            </w:r>
          </w:p>
          <w:p w14:paraId="5F200093" w14:textId="77777777" w:rsidR="00DE1268" w:rsidRDefault="00464E74">
            <w:pPr>
              <w:numPr>
                <w:ilvl w:val="0"/>
                <w:numId w:val="14"/>
              </w:numPr>
              <w:ind w:firstLine="0"/>
            </w:pPr>
            <w:r>
              <w:t>personenbezogene Daten in hochgeladenen Dateien, Kommunikationsinhalten, Termineinträgen, Foreneinträgen, Bewertungen u.Ä.</w:t>
            </w:r>
          </w:p>
          <w:p w14:paraId="69C30069" w14:textId="77777777" w:rsidR="00DE1268" w:rsidRDefault="00464E74">
            <w:pPr>
              <w:numPr>
                <w:ilvl w:val="0"/>
                <w:numId w:val="14"/>
              </w:numPr>
              <w:ind w:firstLine="0"/>
            </w:pPr>
            <w:r>
              <w:t>Protokolldaten (IP-Adresse, An-/Abmeldungen, …)</w:t>
            </w:r>
          </w:p>
          <w:p w14:paraId="78F3A364" w14:textId="77777777" w:rsidR="00DE1268" w:rsidRDefault="00DE1268"/>
        </w:tc>
      </w:tr>
    </w:tbl>
    <w:p w14:paraId="1110663D" w14:textId="77777777" w:rsidR="00DE1268" w:rsidRDefault="00DE1268"/>
    <w:p w14:paraId="3D2EFDB0" w14:textId="77777777" w:rsidR="00DE1268" w:rsidRDefault="00464E74">
      <w:r>
        <w:rPr>
          <w:b/>
        </w:rPr>
        <w:t>6. Kategorien von Empfängern, gegenüber denen die personenbezogenen Daten offengel</w:t>
      </w:r>
      <w:r>
        <w:rPr>
          <w:b/>
        </w:rPr>
        <w:t>egt worden sind oder noch offengelegt werden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1971DD0B"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EC7265F" w14:textId="77777777" w:rsidR="00DE1268" w:rsidRDefault="00DE1268"/>
          <w:p w14:paraId="4917F7C2" w14:textId="77777777" w:rsidR="00DE1268" w:rsidRDefault="00464E74">
            <w:r>
              <w:t>Nutzende hinsichtlich der eigenen und mit ihnen geteilten Daten.</w:t>
            </w:r>
          </w:p>
          <w:p w14:paraId="3788A0DF" w14:textId="77777777" w:rsidR="00DE1268" w:rsidRDefault="00464E74">
            <w:r>
              <w:t>Schule hinsichtlich der Schülerinnen- und Schülerdaten sowie der Lehrkraftdaten.</w:t>
            </w:r>
          </w:p>
          <w:p w14:paraId="0F906B39" w14:textId="77777777" w:rsidR="00DE1268" w:rsidRDefault="00464E74">
            <w:r>
              <w:t>IServ GmbH und ihre Unterauftragsverarbeiter im Rahmen der Auftr</w:t>
            </w:r>
            <w:r>
              <w:t>agsverarbeitung.</w:t>
            </w:r>
          </w:p>
          <w:p w14:paraId="62CE2517" w14:textId="77777777" w:rsidR="00DE1268" w:rsidRDefault="00DE1268"/>
        </w:tc>
      </w:tr>
    </w:tbl>
    <w:p w14:paraId="4039A1DF" w14:textId="77777777" w:rsidR="00DE1268" w:rsidRDefault="00DE1268"/>
    <w:p w14:paraId="7E03CEA9" w14:textId="77777777" w:rsidR="00DE1268" w:rsidRDefault="00464E74">
      <w:r>
        <w:rPr>
          <w:b/>
        </w:rPr>
        <w:t>7. Ggf. Übermittlungen von personenbezogenen Daten an ein Drittland oder an eine internationale Organisation</w:t>
      </w:r>
    </w:p>
    <w:p w14:paraId="731C23C0" w14:textId="77777777" w:rsidR="00DE1268" w:rsidRDefault="00DE1268"/>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333FEEEC"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9946E6B" w14:textId="77777777" w:rsidR="00DE1268" w:rsidRDefault="00DE1268"/>
          <w:p w14:paraId="6E5CC779" w14:textId="77777777" w:rsidR="00DE1268" w:rsidRDefault="00464E74">
            <w:r>
              <w:t>keine</w:t>
            </w:r>
          </w:p>
          <w:p w14:paraId="785D6D88" w14:textId="77777777" w:rsidR="00DE1268" w:rsidRDefault="00DE1268"/>
        </w:tc>
      </w:tr>
    </w:tbl>
    <w:p w14:paraId="36BD9898" w14:textId="77777777" w:rsidR="00DE1268" w:rsidRDefault="00DE1268"/>
    <w:p w14:paraId="2293D64A" w14:textId="77777777" w:rsidR="00DE1268" w:rsidRDefault="00464E74">
      <w:r>
        <w:rPr>
          <w:b/>
        </w:rPr>
        <w:t>8. Absicherung der Übermittlung ins Drittland</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737E6C5D"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C908AE9" w14:textId="77777777" w:rsidR="00DE1268" w:rsidRDefault="00DE1268"/>
          <w:p w14:paraId="702DBEB2" w14:textId="77777777" w:rsidR="00DE1268" w:rsidRDefault="00464E74">
            <w:r>
              <w:t>entfällt</w:t>
            </w:r>
          </w:p>
          <w:p w14:paraId="25F99965" w14:textId="77777777" w:rsidR="00DE1268" w:rsidRDefault="00DE1268"/>
        </w:tc>
      </w:tr>
    </w:tbl>
    <w:p w14:paraId="54102039" w14:textId="77777777" w:rsidR="00DE1268" w:rsidRDefault="00DE1268"/>
    <w:p w14:paraId="09B10F0A" w14:textId="77777777" w:rsidR="00DE1268" w:rsidRDefault="00464E74">
      <w:r>
        <w:rPr>
          <w:b/>
        </w:rPr>
        <w:t>9. Vorgesehene Fristen für die Löschung der verschiedenen Datenkategorien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40FABC5F"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89AAE6C" w14:textId="77777777" w:rsidR="00DE1268" w:rsidRDefault="00DE1268"/>
          <w:p w14:paraId="1122637E" w14:textId="77777777" w:rsidR="00DE1268" w:rsidRDefault="00464E74">
            <w:r>
              <w:t>Personenbezogene Daten werden unverzüglich gelöscht, sofern sie für die Zwecke, für die sie erhoben oder auf sonstige Weise verarbeitet werden, nicht mehr erforderlich sind (§ 10 Abs. 1 Satz 6 SchulDSVO), spätestens mit Weggang der Nutzenden von der Schule</w:t>
            </w:r>
            <w:r>
              <w:t>.</w:t>
            </w:r>
          </w:p>
          <w:p w14:paraId="6F4F8EB8" w14:textId="77777777" w:rsidR="00DE1268" w:rsidRDefault="00464E74">
            <w:r>
              <w:t>Hinsichtlich der im Auftrag verarbeiteten Daten gilt die in der Auftragsverarbeitungsvereinbarung festgelegte Löschung. Die Daten beim Auftragnehmer werden nach Artikel 28 Abs. 3 lit. e DSGVO spätestens mit Beendigung der Auftragsverarbeitung gelöscht. S</w:t>
            </w:r>
            <w:r>
              <w:t>icherungsdateien können noch bis zu 6 Monate über das Vertragsende hinaus Daten enthalten.</w:t>
            </w:r>
          </w:p>
          <w:p w14:paraId="72B5BC03" w14:textId="77777777" w:rsidR="00DE1268" w:rsidRDefault="00DE1268"/>
        </w:tc>
      </w:tr>
    </w:tbl>
    <w:p w14:paraId="6E1956F6" w14:textId="77777777" w:rsidR="00DE1268" w:rsidRDefault="00DE1268"/>
    <w:p w14:paraId="5D29FC06" w14:textId="77777777" w:rsidR="00DE1268" w:rsidRDefault="00464E74">
      <w:r>
        <w:rPr>
          <w:b/>
        </w:rPr>
        <w:t>10. Allgemeine Beschreibung der TOM</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55E4BC34"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EB6584F" w14:textId="77777777" w:rsidR="00DE1268" w:rsidRDefault="00DE1268"/>
          <w:p w14:paraId="24669848" w14:textId="77777777" w:rsidR="00DE1268" w:rsidRDefault="00464E74">
            <w:r>
              <w:t>Auf Seiten des Auftragsverarbeiters:</w:t>
            </w:r>
          </w:p>
          <w:p w14:paraId="0EECC3DF" w14:textId="77777777" w:rsidR="00DE1268" w:rsidRDefault="00464E74">
            <w:r>
              <w:t>Die technischen und organisatorischen Maßnahmen werden in der Anlage zum Auftragsverarbeitungsvertrag dargelegt.</w:t>
            </w:r>
          </w:p>
          <w:p w14:paraId="2C2300F4" w14:textId="77777777" w:rsidR="00DE1268" w:rsidRDefault="00DE1268"/>
          <w:p w14:paraId="55E85A4B" w14:textId="77777777" w:rsidR="00DE1268" w:rsidRDefault="00464E74">
            <w:r>
              <w:t>Auf Seiten der Schule:</w:t>
            </w:r>
          </w:p>
          <w:p w14:paraId="4DDCDE4A" w14:textId="77777777" w:rsidR="00DE1268" w:rsidRDefault="00464E74">
            <w:r>
              <w:t>Administrationsdokumente/Dienstanweisung/Nutzungsordnung für das schulische Personal und die Schülerinnen und Schüler.</w:t>
            </w:r>
          </w:p>
          <w:p w14:paraId="2D489E11" w14:textId="77777777" w:rsidR="00DE1268" w:rsidRDefault="00DE1268"/>
        </w:tc>
      </w:tr>
    </w:tbl>
    <w:p w14:paraId="4315026A" w14:textId="77777777" w:rsidR="00DE1268" w:rsidRDefault="00DE1268"/>
    <w:p w14:paraId="180A6916" w14:textId="77777777" w:rsidR="00DE1268" w:rsidRDefault="00DE1268"/>
    <w:p w14:paraId="626E3CE5" w14:textId="77777777" w:rsidR="00DE1268" w:rsidRDefault="00DE1268"/>
    <w:p w14:paraId="3A22F71B" w14:textId="77777777" w:rsidR="00DE1268" w:rsidRDefault="00DE1268"/>
    <w:p w14:paraId="6A6E9F72" w14:textId="77777777" w:rsidR="00DE1268" w:rsidRDefault="00464E74">
      <w:r>
        <w:rPr>
          <w:b/>
        </w:rPr>
        <w:t>11. Dienstleister, die die Verarbeitung im Auftrag durchführen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14FACA52"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0E7D40C" w14:textId="77777777" w:rsidR="00DE1268" w:rsidRDefault="00DE1268"/>
          <w:p w14:paraId="48BE9EF5" w14:textId="77777777" w:rsidR="00DE1268" w:rsidRDefault="00464E74">
            <w:r>
              <w:t>[</w:t>
            </w:r>
            <w:r>
              <w:rPr>
                <w:b/>
              </w:rPr>
              <w:t xml:space="preserve">Name und Anschrift des Schulträgers / IServ GmbH, Bültenweg 73, 38106 </w:t>
            </w:r>
            <w:r>
              <w:rPr>
                <w:b/>
              </w:rPr>
              <w:lastRenderedPageBreak/>
              <w:t>Braunschweig</w:t>
            </w:r>
            <w:r>
              <w:t>]</w:t>
            </w:r>
          </w:p>
          <w:p w14:paraId="53E50B99" w14:textId="77777777" w:rsidR="00DE1268" w:rsidRDefault="00DE1268"/>
        </w:tc>
      </w:tr>
    </w:tbl>
    <w:p w14:paraId="7430682E" w14:textId="77777777" w:rsidR="00DE1268" w:rsidRDefault="00DE1268"/>
    <w:p w14:paraId="001995FD" w14:textId="77777777" w:rsidR="00DE1268" w:rsidRDefault="00464E74">
      <w:r>
        <w:rPr>
          <w:b/>
        </w:rPr>
        <w:t>12. Name und Kontaktdaten des gemeinsam Verantwortlichen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DE1268" w14:paraId="3D5A6C2F" w14:textId="77777777">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09BC653" w14:textId="77777777" w:rsidR="00DE1268" w:rsidRDefault="00DE1268"/>
          <w:p w14:paraId="23145FEE" w14:textId="77777777" w:rsidR="00DE1268" w:rsidRDefault="00464E74">
            <w:r>
              <w:t>entfällt</w:t>
            </w:r>
          </w:p>
          <w:p w14:paraId="60D7440C" w14:textId="77777777" w:rsidR="00DE1268" w:rsidRDefault="00DE1268"/>
        </w:tc>
      </w:tr>
    </w:tbl>
    <w:p w14:paraId="50F5178C" w14:textId="77777777" w:rsidR="00DE1268" w:rsidRDefault="00DE1268"/>
    <w:p w14:paraId="659532D8" w14:textId="77777777" w:rsidR="00DE1268" w:rsidRDefault="00DE1268"/>
    <w:p w14:paraId="27CC7245" w14:textId="77777777" w:rsidR="00DE1268" w:rsidRDefault="00464E74">
      <w:pPr>
        <w:pStyle w:val="berschrift4"/>
      </w:pPr>
      <w:bookmarkStart w:id="2" w:name="xn2NqELNwo"/>
      <w:r>
        <w:rPr>
          <w:b/>
        </w:rPr>
        <w:t>Änderungshistorie</w:t>
      </w:r>
      <w:bookmarkEnd w:id="2"/>
    </w:p>
    <w:tbl>
      <w:tblPr>
        <w:tblW w:w="9000"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2220"/>
        <w:gridCol w:w="4275"/>
        <w:gridCol w:w="2505"/>
      </w:tblGrid>
      <w:tr w:rsidR="00DE1268" w14:paraId="36F18BCA"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94886D3" w14:textId="77777777" w:rsidR="00DE1268" w:rsidRDefault="00464E74">
            <w:r>
              <w:rPr>
                <w:sz w:val="20"/>
                <w:szCs w:val="20"/>
              </w:rPr>
              <w:t>Datum der Änderung</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E692A9D" w14:textId="77777777" w:rsidR="00DE1268" w:rsidRDefault="00464E74">
            <w:r>
              <w:rPr>
                <w:sz w:val="20"/>
                <w:szCs w:val="20"/>
              </w:rPr>
              <w:t>Änderungsbeschreibung</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3949A55" w14:textId="77777777" w:rsidR="00DE1268" w:rsidRDefault="00464E74">
            <w:r>
              <w:rPr>
                <w:sz w:val="20"/>
                <w:szCs w:val="20"/>
              </w:rPr>
              <w:t>Geändert durch</w:t>
            </w:r>
          </w:p>
        </w:tc>
      </w:tr>
      <w:tr w:rsidR="00DE1268" w14:paraId="6C4F32C9" w14:textId="77777777">
        <w:tblPrEx>
          <w:tblCellMar>
            <w:top w:w="0" w:type="dxa"/>
            <w:bottom w:w="0" w:type="dxa"/>
          </w:tblCellMar>
        </w:tblPrEx>
        <w:trPr>
          <w:trHeight w:val="36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B8CA736" w14:textId="77777777" w:rsidR="00DE1268" w:rsidRDefault="00464E74">
            <w:r>
              <w:rPr>
                <w:sz w:val="20"/>
                <w:szCs w:val="20"/>
              </w:rPr>
              <w:t>01.10.2024</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DF7B2DD" w14:textId="77777777" w:rsidR="00DE1268" w:rsidRDefault="00464E74">
            <w:r>
              <w:rPr>
                <w:sz w:val="20"/>
                <w:szCs w:val="20"/>
              </w:rPr>
              <w:t>final</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2957FA8" w14:textId="77777777" w:rsidR="00DE1268" w:rsidRDefault="00464E74">
            <w:r>
              <w:rPr>
                <w:sz w:val="20"/>
                <w:szCs w:val="20"/>
              </w:rPr>
              <w:t>IQSH SG50 und III DSB</w:t>
            </w:r>
          </w:p>
        </w:tc>
      </w:tr>
    </w:tbl>
    <w:p w14:paraId="355C3272" w14:textId="77777777" w:rsidR="00DE1268" w:rsidRDefault="00DE1268">
      <w:pPr>
        <w:spacing w:after="160" w:line="259" w:lineRule="auto"/>
      </w:pPr>
    </w:p>
    <w:sectPr w:rsidR="00DE1268">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2B86" w14:textId="77777777" w:rsidR="00464E74" w:rsidRDefault="00464E74">
      <w:pPr>
        <w:spacing w:line="240" w:lineRule="auto"/>
      </w:pPr>
      <w:r>
        <w:separator/>
      </w:r>
    </w:p>
  </w:endnote>
  <w:endnote w:type="continuationSeparator" w:id="0">
    <w:p w14:paraId="1FD97698" w14:textId="77777777" w:rsidR="00464E74" w:rsidRDefault="00464E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FF7BC" w14:textId="77777777" w:rsidR="00C93D5A" w:rsidRDefault="00C93D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0313B" w14:textId="77777777" w:rsidR="00DE1268" w:rsidRDefault="00DE1268"/>
  <w:p w14:paraId="324D628D" w14:textId="1C43EAE9" w:rsidR="00DE1268" w:rsidRDefault="00464E74">
    <w:pPr>
      <w:jc w:val="center"/>
    </w:pPr>
    <w:r>
      <w:fldChar w:fldCharType="begin"/>
    </w:r>
    <w:r>
      <w:instrText xml:space="preserve"> PAGE   \* MERGEFORMAT </w:instrText>
    </w:r>
    <w:r>
      <w:fldChar w:fldCharType="separate"/>
    </w:r>
    <w:r w:rsidR="00C93D5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6DD6D" w14:textId="77777777" w:rsidR="00C93D5A" w:rsidRDefault="00C93D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38146" w14:textId="77777777" w:rsidR="00464E74" w:rsidRDefault="00464E74">
      <w:pPr>
        <w:spacing w:line="240" w:lineRule="auto"/>
      </w:pPr>
      <w:r>
        <w:separator/>
      </w:r>
    </w:p>
  </w:footnote>
  <w:footnote w:type="continuationSeparator" w:id="0">
    <w:p w14:paraId="112BB273" w14:textId="77777777" w:rsidR="00464E74" w:rsidRDefault="00464E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D1D7C" w14:textId="77777777" w:rsidR="00C93D5A" w:rsidRDefault="00C93D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6C4B6" w14:textId="77777777" w:rsidR="00DE1268" w:rsidRDefault="00DE126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070B2" w14:textId="77777777" w:rsidR="00C93D5A" w:rsidRDefault="00C93D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F6A952"/>
    <w:multiLevelType w:val="multilevel"/>
    <w:tmpl w:val="1AEAF994"/>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 w15:restartNumberingAfterBreak="0">
    <w:nsid w:val="A98315C7"/>
    <w:multiLevelType w:val="multilevel"/>
    <w:tmpl w:val="1E40E71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2" w15:restartNumberingAfterBreak="0">
    <w:nsid w:val="AD250755"/>
    <w:multiLevelType w:val="multilevel"/>
    <w:tmpl w:val="BBFAFAA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3" w15:restartNumberingAfterBreak="0">
    <w:nsid w:val="CD43D3CC"/>
    <w:multiLevelType w:val="multilevel"/>
    <w:tmpl w:val="1AC8AB82"/>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4" w15:restartNumberingAfterBreak="0">
    <w:nsid w:val="D3A54798"/>
    <w:multiLevelType w:val="multilevel"/>
    <w:tmpl w:val="5CF48D32"/>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5" w15:restartNumberingAfterBreak="0">
    <w:nsid w:val="D49F45C1"/>
    <w:multiLevelType w:val="multilevel"/>
    <w:tmpl w:val="841466E2"/>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6" w15:restartNumberingAfterBreak="0">
    <w:nsid w:val="08E323EA"/>
    <w:multiLevelType w:val="multilevel"/>
    <w:tmpl w:val="FAA095FE"/>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7" w15:restartNumberingAfterBreak="0">
    <w:nsid w:val="0D9BF1F4"/>
    <w:multiLevelType w:val="multilevel"/>
    <w:tmpl w:val="2C20205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8" w15:restartNumberingAfterBreak="0">
    <w:nsid w:val="10618EE0"/>
    <w:multiLevelType w:val="multilevel"/>
    <w:tmpl w:val="5CAE1070"/>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9" w15:restartNumberingAfterBreak="0">
    <w:nsid w:val="1B61042A"/>
    <w:multiLevelType w:val="multilevel"/>
    <w:tmpl w:val="748225CC"/>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0" w15:restartNumberingAfterBreak="0">
    <w:nsid w:val="2550AFD9"/>
    <w:multiLevelType w:val="multilevel"/>
    <w:tmpl w:val="E12839C4"/>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1" w15:restartNumberingAfterBreak="0">
    <w:nsid w:val="284461D3"/>
    <w:multiLevelType w:val="multilevel"/>
    <w:tmpl w:val="63401690"/>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2" w15:restartNumberingAfterBreak="0">
    <w:nsid w:val="490B3FB4"/>
    <w:multiLevelType w:val="multilevel"/>
    <w:tmpl w:val="CF3CD508"/>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3" w15:restartNumberingAfterBreak="0">
    <w:nsid w:val="6F7EC254"/>
    <w:multiLevelType w:val="multilevel"/>
    <w:tmpl w:val="E9201B8E"/>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num w:numId="1">
    <w:abstractNumId w:val="6"/>
  </w:num>
  <w:num w:numId="2">
    <w:abstractNumId w:val="2"/>
  </w:num>
  <w:num w:numId="3">
    <w:abstractNumId w:val="8"/>
  </w:num>
  <w:num w:numId="4">
    <w:abstractNumId w:val="10"/>
  </w:num>
  <w:num w:numId="5">
    <w:abstractNumId w:val="9"/>
  </w:num>
  <w:num w:numId="6">
    <w:abstractNumId w:val="5"/>
  </w:num>
  <w:num w:numId="7">
    <w:abstractNumId w:val="4"/>
  </w:num>
  <w:num w:numId="8">
    <w:abstractNumId w:val="3"/>
  </w:num>
  <w:num w:numId="9">
    <w:abstractNumId w:val="0"/>
  </w:num>
  <w:num w:numId="10">
    <w:abstractNumId w:val="7"/>
  </w:num>
  <w:num w:numId="11">
    <w:abstractNumId w:val="1"/>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1268"/>
    <w:rsid w:val="00464E74"/>
    <w:rsid w:val="00C93D5A"/>
    <w:rsid w:val="00DE1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sz w:val="48"/>
      <w:szCs w:val="48"/>
    </w:rPr>
  </w:style>
  <w:style w:type="paragraph" w:styleId="berschrift2">
    <w:name w:val="heading 2"/>
    <w:basedOn w:val="Standard"/>
    <w:pPr>
      <w:spacing w:before="260" w:after="80"/>
      <w:outlineLvl w:val="1"/>
    </w:pPr>
    <w:rPr>
      <w:sz w:val="40"/>
      <w:szCs w:val="40"/>
    </w:rPr>
  </w:style>
  <w:style w:type="paragraph" w:styleId="berschrift3">
    <w:name w:val="heading 3"/>
    <w:basedOn w:val="Standard"/>
    <w:pPr>
      <w:spacing w:before="200" w:after="60"/>
      <w:outlineLvl w:val="2"/>
    </w:pPr>
    <w:rPr>
      <w:sz w:val="32"/>
      <w:szCs w:val="32"/>
    </w:rPr>
  </w:style>
  <w:style w:type="paragraph" w:styleId="berschrift4">
    <w:name w:val="heading 4"/>
    <w:basedOn w:val="Standard"/>
    <w:pPr>
      <w:spacing w:before="180" w:after="60"/>
      <w:outlineLvl w:val="3"/>
    </w:pPr>
    <w:rPr>
      <w:sz w:val="24"/>
      <w:szCs w:val="24"/>
    </w:rPr>
  </w:style>
  <w:style w:type="paragraph" w:styleId="berschrift5">
    <w:name w:val="heading 5"/>
    <w:basedOn w:val="Standard"/>
    <w:pPr>
      <w:outlineLvl w:val="4"/>
    </w:pPr>
  </w:style>
  <w:style w:type="paragraph" w:styleId="berschrift6">
    <w:name w:val="heading 6"/>
    <w:basedOn w:val="Standard"/>
    <w:p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C93D5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3D5A"/>
    <w:rPr>
      <w:rFonts w:ascii="Segoe UI" w:hAnsi="Segoe UI" w:cs="Segoe UI"/>
      <w:sz w:val="18"/>
      <w:szCs w:val="18"/>
    </w:rPr>
  </w:style>
  <w:style w:type="paragraph" w:styleId="Kopfzeile">
    <w:name w:val="header"/>
    <w:basedOn w:val="Standard"/>
    <w:link w:val="KopfzeileZchn"/>
    <w:uiPriority w:val="99"/>
    <w:unhideWhenUsed/>
    <w:rsid w:val="00C93D5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93D5A"/>
  </w:style>
  <w:style w:type="paragraph" w:styleId="Fuzeile">
    <w:name w:val="footer"/>
    <w:basedOn w:val="Standard"/>
    <w:link w:val="FuzeileZchn"/>
    <w:uiPriority w:val="99"/>
    <w:unhideWhenUsed/>
    <w:rsid w:val="00C93D5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93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2963</Characters>
  <Application>Microsoft Office Word</Application>
  <DocSecurity>0</DocSecurity>
  <Lines>24</Lines>
  <Paragraphs>6</Paragraphs>
  <ScaleCrop>false</ScaleCrop>
  <Manager/>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2024-10-01T10:34:00Z</dcterms:created>
  <dcterms:modified xsi:type="dcterms:W3CDTF">2024-10-01T10:34:00Z</dcterms:modified>
  <cp:category/>
</cp:coreProperties>
</file>