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184A9" w14:textId="77777777" w:rsidR="004468B3" w:rsidRPr="00D951F3" w:rsidRDefault="00220A4E" w:rsidP="00220A4E">
      <w:pPr>
        <w:pStyle w:val="Default"/>
        <w:jc w:val="center"/>
        <w:rPr>
          <w:b/>
        </w:rPr>
      </w:pPr>
      <w:r w:rsidRPr="00D951F3">
        <w:rPr>
          <w:b/>
        </w:rPr>
        <w:t xml:space="preserve">Allgemeine Nutzungshinweise </w:t>
      </w:r>
      <w:r w:rsidR="00FD65D7" w:rsidRPr="00D951F3">
        <w:rPr>
          <w:b/>
        </w:rPr>
        <w:t>für dienstliche Endgeräte</w:t>
      </w:r>
    </w:p>
    <w:p w14:paraId="09DB11BA" w14:textId="77777777" w:rsidR="004468B3" w:rsidRPr="00D951F3" w:rsidRDefault="004468B3" w:rsidP="00D951F3">
      <w:pPr>
        <w:pStyle w:val="Default"/>
        <w:rPr>
          <w:b/>
        </w:rPr>
      </w:pPr>
    </w:p>
    <w:p w14:paraId="3443C73D" w14:textId="77777777" w:rsidR="00FD65D7" w:rsidRPr="00D951F3" w:rsidRDefault="00FD65D7" w:rsidP="00FD65D7">
      <w:pPr>
        <w:pStyle w:val="Default"/>
        <w:jc w:val="center"/>
        <w:rPr>
          <w:b/>
        </w:rPr>
      </w:pPr>
    </w:p>
    <w:p w14:paraId="273F519E" w14:textId="77777777" w:rsidR="00FD65D7" w:rsidRPr="00D951F3" w:rsidRDefault="00FD65D7" w:rsidP="00FD65D7">
      <w:pPr>
        <w:pStyle w:val="Default"/>
        <w:numPr>
          <w:ilvl w:val="0"/>
          <w:numId w:val="1"/>
        </w:numPr>
        <w:rPr>
          <w:u w:val="single"/>
        </w:rPr>
      </w:pPr>
      <w:r w:rsidRPr="00D951F3">
        <w:rPr>
          <w:u w:val="single"/>
        </w:rPr>
        <w:t>Geltungsbereich</w:t>
      </w:r>
    </w:p>
    <w:p w14:paraId="432AE7CD" w14:textId="77777777" w:rsidR="00FD65D7" w:rsidRPr="00D951F3" w:rsidRDefault="00FD65D7" w:rsidP="00FD65D7">
      <w:pPr>
        <w:pStyle w:val="Default"/>
        <w:ind w:left="720"/>
        <w:rPr>
          <w:u w:val="single"/>
        </w:rPr>
      </w:pPr>
      <w:r w:rsidRPr="00D951F3">
        <w:t>Die</w:t>
      </w:r>
      <w:r w:rsidR="00220A4E" w:rsidRPr="00D951F3">
        <w:t>se Nutzungshinweise</w:t>
      </w:r>
      <w:r w:rsidRPr="00D951F3">
        <w:t xml:space="preserve"> gelten für die </w:t>
      </w:r>
      <w:r w:rsidR="00E56B73" w:rsidRPr="00D951F3">
        <w:t xml:space="preserve">Verwendung </w:t>
      </w:r>
      <w:r w:rsidRPr="00D951F3">
        <w:t xml:space="preserve">der vom </w:t>
      </w:r>
      <w:r w:rsidR="002779F8" w:rsidRPr="00D951F3">
        <w:t xml:space="preserve">Land Schleswig-Holstein </w:t>
      </w:r>
      <w:r w:rsidRPr="00D951F3">
        <w:t>gestellten dienstlichen Endgeräte für Lehrkräfte</w:t>
      </w:r>
      <w:r w:rsidR="009E0204" w:rsidRPr="00D951F3">
        <w:t>, Lehrkräfte im Vorbereitungsdienst und Lehramtsstudierende im Praxissemester,</w:t>
      </w:r>
      <w:r w:rsidRPr="00D951F3">
        <w:t xml:space="preserve"> die am Bildungs- und Erziehungsauftrag in Schulen beteiligt sind</w:t>
      </w:r>
      <w:r w:rsidR="002779F8" w:rsidRPr="00D951F3">
        <w:t>.</w:t>
      </w:r>
    </w:p>
    <w:p w14:paraId="600B6F4C" w14:textId="77777777" w:rsidR="00220A4E" w:rsidRPr="00D951F3" w:rsidRDefault="00220A4E" w:rsidP="00220A4E">
      <w:pPr>
        <w:tabs>
          <w:tab w:val="left" w:pos="628"/>
          <w:tab w:val="left" w:pos="4881"/>
        </w:tabs>
        <w:rPr>
          <w:rFonts w:ascii="Arial" w:hAnsi="Arial" w:cs="Arial"/>
          <w:szCs w:val="24"/>
        </w:rPr>
      </w:pPr>
    </w:p>
    <w:p w14:paraId="31B9AFEB" w14:textId="77777777" w:rsidR="00FD65D7" w:rsidRPr="00D951F3" w:rsidRDefault="00FD65D7" w:rsidP="00FD65D7">
      <w:pPr>
        <w:pStyle w:val="Default"/>
        <w:numPr>
          <w:ilvl w:val="0"/>
          <w:numId w:val="1"/>
        </w:numPr>
        <w:rPr>
          <w:u w:val="single"/>
        </w:rPr>
      </w:pPr>
      <w:r w:rsidRPr="00D951F3">
        <w:rPr>
          <w:u w:val="single"/>
        </w:rPr>
        <w:t>Einsatzbereich</w:t>
      </w:r>
    </w:p>
    <w:p w14:paraId="3B9EA722" w14:textId="540A5C64" w:rsidR="00FD65D7" w:rsidRPr="00D951F3" w:rsidRDefault="00FD65D7" w:rsidP="00FD65D7">
      <w:pPr>
        <w:pStyle w:val="Default"/>
        <w:ind w:left="720"/>
        <w:rPr>
          <w:u w:val="single"/>
        </w:rPr>
      </w:pPr>
      <w:r w:rsidRPr="00D951F3">
        <w:t>Die Ausstattung steht den Lehrkräften zur dienstlichen Nutzung</w:t>
      </w:r>
      <w:r w:rsidR="00D02E9B">
        <w:t xml:space="preserve"> </w:t>
      </w:r>
      <w:r w:rsidRPr="00D951F3">
        <w:t>unentgeltlich zur Verfügung.</w:t>
      </w:r>
    </w:p>
    <w:p w14:paraId="507E983F" w14:textId="77777777" w:rsidR="00FD65D7" w:rsidRPr="00D951F3" w:rsidRDefault="00FD65D7" w:rsidP="00220A4E">
      <w:pPr>
        <w:pStyle w:val="Default"/>
      </w:pPr>
    </w:p>
    <w:p w14:paraId="23A37B03" w14:textId="77777777" w:rsidR="00E50EF3" w:rsidRPr="00D951F3" w:rsidRDefault="00FD65D7" w:rsidP="00220A4E">
      <w:pPr>
        <w:pStyle w:val="Default"/>
        <w:numPr>
          <w:ilvl w:val="0"/>
          <w:numId w:val="1"/>
        </w:numPr>
        <w:rPr>
          <w:u w:val="single"/>
        </w:rPr>
      </w:pPr>
      <w:r w:rsidRPr="00D951F3">
        <w:rPr>
          <w:u w:val="single"/>
        </w:rPr>
        <w:t>Beachtung geltender Rechtsvorschriften</w:t>
      </w:r>
      <w:r w:rsidR="00B20499" w:rsidRPr="00D951F3">
        <w:rPr>
          <w:u w:val="single"/>
        </w:rPr>
        <w:t xml:space="preserve"> und allgemeine Sorgfaltspflicht</w:t>
      </w:r>
    </w:p>
    <w:p w14:paraId="51B2D890" w14:textId="1BC00806" w:rsidR="00FD65D7" w:rsidRPr="00D951F3" w:rsidRDefault="00E50EF3" w:rsidP="00E50EF3">
      <w:pPr>
        <w:pStyle w:val="Default"/>
        <w:ind w:left="720"/>
      </w:pPr>
      <w:r w:rsidRPr="00D951F3">
        <w:t xml:space="preserve">Bei der Nutzung der dienstlichen Endgeräte sind die geltenden Rechtsvorschriften, </w:t>
      </w:r>
      <w:r w:rsidR="00FD65D7" w:rsidRPr="00D951F3">
        <w:rPr>
          <w:color w:val="000000" w:themeColor="text1"/>
        </w:rPr>
        <w:t xml:space="preserve">insbesondere die Bestimmungen des Urheber-, Jugendschutz-, Datenschutz- und Strafrechts, </w:t>
      </w:r>
      <w:r w:rsidRPr="00D951F3">
        <w:rPr>
          <w:color w:val="000000" w:themeColor="text1"/>
        </w:rPr>
        <w:t>zu beachten.</w:t>
      </w:r>
    </w:p>
    <w:p w14:paraId="552AE82C" w14:textId="77777777" w:rsidR="00FD65D7" w:rsidRPr="00D951F3" w:rsidRDefault="00FD65D7" w:rsidP="00FD65D7">
      <w:pPr>
        <w:pStyle w:val="Default"/>
        <w:ind w:left="720"/>
      </w:pPr>
      <w:r w:rsidRPr="00D951F3">
        <w:t>Unabhängig von der gesetzlichen Zulässigkeit ist es bei der Nutzung des mobilen Endgeräts zudem nicht gestattet, verfassungsfeindliche, rassistische, gewaltverherrlichende oder pornografische Inhalte willentlich oder wissentlich abzurufen, zu speichern oder zu verbreiten</w:t>
      </w:r>
      <w:r w:rsidR="00E50EF3" w:rsidRPr="00D951F3">
        <w:t xml:space="preserve">, es sei denn, dass dienstliche Gründe dies unbedingt erforderlich machen. </w:t>
      </w:r>
    </w:p>
    <w:p w14:paraId="6A19D459" w14:textId="77777777" w:rsidR="004547E8" w:rsidRPr="00D951F3" w:rsidRDefault="004547E8" w:rsidP="00FD65D7">
      <w:pPr>
        <w:pStyle w:val="Default"/>
        <w:ind w:left="720"/>
      </w:pPr>
    </w:p>
    <w:p w14:paraId="7BF4378A" w14:textId="77777777" w:rsidR="00DE204C" w:rsidRPr="00D951F3" w:rsidRDefault="00DE204C" w:rsidP="00DE204C">
      <w:pPr>
        <w:pStyle w:val="Default"/>
        <w:ind w:left="720"/>
      </w:pPr>
      <w:r w:rsidRPr="00D951F3">
        <w:rPr>
          <w:color w:val="000000" w:themeColor="text1"/>
        </w:rPr>
        <w:t>Die dienstlichen Endgeräte samt Zubehör sind mit angemessener Sorgfalt zu behandeln. Insbesondere sind mitgelieferte Bedienungsanleitungen zu beachten.</w:t>
      </w:r>
    </w:p>
    <w:p w14:paraId="6303A7D6" w14:textId="77777777" w:rsidR="004547E8" w:rsidRPr="00D951F3" w:rsidRDefault="004547E8" w:rsidP="00FD65D7">
      <w:pPr>
        <w:pStyle w:val="Default"/>
        <w:ind w:left="720"/>
      </w:pPr>
    </w:p>
    <w:p w14:paraId="1E4A9C94" w14:textId="77777777" w:rsidR="00B20499" w:rsidRPr="00D951F3" w:rsidRDefault="00FD65D7" w:rsidP="00376AE5">
      <w:pPr>
        <w:pStyle w:val="Default"/>
        <w:ind w:left="720"/>
        <w:rPr>
          <w:color w:val="000000" w:themeColor="text1"/>
        </w:rPr>
      </w:pPr>
      <w:r w:rsidRPr="00D951F3">
        <w:t xml:space="preserve">Besteht der Verdacht, dass das geliehene mobile Endgerät oder ein Computerprogramm/App von Schadsoftware befallen ist, ist dies </w:t>
      </w:r>
      <w:r w:rsidR="00376AE5" w:rsidRPr="00D951F3">
        <w:t xml:space="preserve">über den IQSH-Helpdesk </w:t>
      </w:r>
      <w:r w:rsidRPr="00D951F3">
        <w:t xml:space="preserve">unverzüglich zu melden. Im Falle des Verdachts auf Schadsoftwarebefall darf das Gerät solange nicht genutzt werden, bis </w:t>
      </w:r>
      <w:r w:rsidR="00220A4E" w:rsidRPr="00D951F3">
        <w:t xml:space="preserve">das Land Schleswig-Holstein </w:t>
      </w:r>
      <w:r w:rsidRPr="00D951F3">
        <w:t>die Nutzung wieder freigibt.</w:t>
      </w:r>
      <w:r w:rsidR="00B20499" w:rsidRPr="00D951F3">
        <w:rPr>
          <w:color w:val="000000" w:themeColor="text1"/>
        </w:rPr>
        <w:t xml:space="preserve"> </w:t>
      </w:r>
    </w:p>
    <w:p w14:paraId="2F659975" w14:textId="77777777" w:rsidR="00376AE5" w:rsidRPr="00D951F3" w:rsidRDefault="00376AE5" w:rsidP="00220A4E">
      <w:pPr>
        <w:pStyle w:val="Default"/>
      </w:pPr>
    </w:p>
    <w:p w14:paraId="67BCE01D" w14:textId="77777777" w:rsidR="00FD65D7" w:rsidRPr="00D951F3" w:rsidRDefault="00FD65D7" w:rsidP="00220A4E">
      <w:pPr>
        <w:pStyle w:val="Default"/>
        <w:numPr>
          <w:ilvl w:val="0"/>
          <w:numId w:val="1"/>
        </w:numPr>
      </w:pPr>
      <w:r w:rsidRPr="00D951F3">
        <w:rPr>
          <w:u w:val="single"/>
        </w:rPr>
        <w:t xml:space="preserve">Zugriff </w:t>
      </w:r>
      <w:r w:rsidR="007919F9" w:rsidRPr="00D951F3">
        <w:rPr>
          <w:u w:val="single"/>
        </w:rPr>
        <w:t xml:space="preserve">Dritter auf die </w:t>
      </w:r>
      <w:r w:rsidR="001436FB" w:rsidRPr="00D951F3">
        <w:rPr>
          <w:u w:val="single"/>
        </w:rPr>
        <w:t>Endgeräte samt Zubehör</w:t>
      </w:r>
    </w:p>
    <w:p w14:paraId="53EEA4BB" w14:textId="76D1EC9D" w:rsidR="00FD65D7" w:rsidRPr="00D951F3" w:rsidRDefault="007919F9" w:rsidP="00FD65D7">
      <w:pPr>
        <w:pStyle w:val="Default"/>
        <w:ind w:left="720"/>
        <w:rPr>
          <w:u w:val="single"/>
        </w:rPr>
      </w:pPr>
      <w:r w:rsidRPr="00D951F3">
        <w:t>Die dienstlichen Endgeräte samt Zubehör dürfen</w:t>
      </w:r>
      <w:r w:rsidR="00FD65D7" w:rsidRPr="00D951F3">
        <w:t xml:space="preserve"> nicht an Dritte weitergegeben oder diesen zum Gebrauch überlassen werden. </w:t>
      </w:r>
      <w:r w:rsidR="00FD65D7" w:rsidRPr="00D951F3">
        <w:rPr>
          <w:color w:val="000000" w:themeColor="text1"/>
        </w:rPr>
        <w:t>Diese Einschränkung umfasst nicht die Mitnutzung der Ausstattung durch beteiligte Personen</w:t>
      </w:r>
      <w:r w:rsidR="00654291">
        <w:rPr>
          <w:color w:val="000000" w:themeColor="text1"/>
        </w:rPr>
        <w:t xml:space="preserve"> im schulischen Kontext</w:t>
      </w:r>
      <w:r w:rsidR="00FD65D7" w:rsidRPr="00D951F3">
        <w:rPr>
          <w:color w:val="000000" w:themeColor="text1"/>
        </w:rPr>
        <w:t xml:space="preserve"> </w:t>
      </w:r>
      <w:r w:rsidR="00D32119" w:rsidRPr="00CF0278">
        <w:rPr>
          <w:color w:val="000000" w:themeColor="text1"/>
        </w:rPr>
        <w:t xml:space="preserve">(zum Beispiel </w:t>
      </w:r>
      <w:r w:rsidR="00654291" w:rsidRPr="00CF0278">
        <w:rPr>
          <w:color w:val="000000" w:themeColor="text1"/>
        </w:rPr>
        <w:t>Praktikantinnen und Praktikanten, Lehrkräfte im Vorbereitungsdienst</w:t>
      </w:r>
      <w:r w:rsidR="00432B5A" w:rsidRPr="00CF0278">
        <w:rPr>
          <w:color w:val="000000" w:themeColor="text1"/>
        </w:rPr>
        <w:t>).</w:t>
      </w:r>
    </w:p>
    <w:p w14:paraId="05327EDE" w14:textId="77777777" w:rsidR="00FD65D7" w:rsidRPr="00D951F3" w:rsidRDefault="00FD65D7" w:rsidP="00FD65D7">
      <w:pPr>
        <w:pStyle w:val="Default"/>
        <w:ind w:left="720"/>
        <w:rPr>
          <w:u w:val="single"/>
        </w:rPr>
      </w:pPr>
      <w:r w:rsidRPr="00D951F3">
        <w:t xml:space="preserve">Im öffentlichen Raum (hier einschließlich Klassenraum, Lehrerzimmer, Aula etc.) ist die mobile Ausstattung nicht unbeaufsichtigt zu lassen. </w:t>
      </w:r>
    </w:p>
    <w:p w14:paraId="7D39B175" w14:textId="77777777" w:rsidR="00376AE5" w:rsidRPr="00D951F3" w:rsidRDefault="00FD65D7" w:rsidP="00376AE5">
      <w:pPr>
        <w:pStyle w:val="Default"/>
        <w:ind w:left="720"/>
      </w:pPr>
      <w:r w:rsidRPr="00D951F3">
        <w:t xml:space="preserve">Passwörter als </w:t>
      </w:r>
      <w:r w:rsidR="00E87C23" w:rsidRPr="00D951F3">
        <w:t xml:space="preserve">Zugangs- bzw. </w:t>
      </w:r>
      <w:r w:rsidRPr="00D951F3">
        <w:t xml:space="preserve">Zugriffsschutz für die Ausstattung dürfen nicht weitergegeben werden. </w:t>
      </w:r>
    </w:p>
    <w:p w14:paraId="2959D928" w14:textId="52069211" w:rsidR="00FD65D7" w:rsidRPr="00D951F3" w:rsidRDefault="00E86E35" w:rsidP="00376AE5">
      <w:pPr>
        <w:pStyle w:val="Default"/>
        <w:ind w:left="720"/>
      </w:pPr>
      <w:r w:rsidRPr="00D951F3">
        <w:t>Bei Verlassen des Arbeitsplatzes − auch bei kur</w:t>
      </w:r>
      <w:r w:rsidR="004C6830">
        <w:t>zfristiger Abwesenheit – ist das Endgerät (Windows-Taste + L oder Displaysperre aktivieren)</w:t>
      </w:r>
      <w:r w:rsidRPr="00D951F3">
        <w:t xml:space="preserve"> zu sperren</w:t>
      </w:r>
      <w:r w:rsidR="009E0204" w:rsidRPr="00D951F3">
        <w:t>.</w:t>
      </w:r>
    </w:p>
    <w:p w14:paraId="76EC8C8C" w14:textId="77777777" w:rsidR="00FD65D7" w:rsidRPr="00D951F3" w:rsidRDefault="00FD65D7" w:rsidP="00FD65D7">
      <w:pPr>
        <w:pStyle w:val="Default"/>
        <w:ind w:left="720"/>
        <w:rPr>
          <w:u w:val="single"/>
        </w:rPr>
      </w:pPr>
    </w:p>
    <w:p w14:paraId="6BD8DFD3" w14:textId="77777777" w:rsidR="00FD65D7" w:rsidRPr="00D951F3" w:rsidRDefault="00FD65D7" w:rsidP="00D951F3">
      <w:pPr>
        <w:pStyle w:val="Default"/>
        <w:numPr>
          <w:ilvl w:val="0"/>
          <w:numId w:val="1"/>
        </w:numPr>
        <w:rPr>
          <w:u w:val="single"/>
        </w:rPr>
      </w:pPr>
      <w:r w:rsidRPr="00D951F3">
        <w:rPr>
          <w:u w:val="single"/>
        </w:rPr>
        <w:t>Grundkonfiguration zur Gerätesicherheit</w:t>
      </w:r>
    </w:p>
    <w:p w14:paraId="7A0FA35A" w14:textId="77777777" w:rsidR="00FD65D7" w:rsidRPr="00D951F3" w:rsidRDefault="00FD65D7" w:rsidP="00FD65D7">
      <w:pPr>
        <w:pStyle w:val="Default"/>
        <w:ind w:left="720"/>
        <w:rPr>
          <w:u w:val="single"/>
        </w:rPr>
      </w:pPr>
      <w:r w:rsidRPr="00D951F3">
        <w:t xml:space="preserve">Im Übergabezustand sind die Endgeräte mit technischen Maßnahmen zur Absicherung gegen Fremdzugriffe und Malware durch </w:t>
      </w:r>
      <w:r w:rsidR="00DA5D64" w:rsidRPr="00D951F3">
        <w:t>das Land Schleswig-Holstein</w:t>
      </w:r>
      <w:r w:rsidRPr="00D951F3">
        <w:t xml:space="preserve"> </w:t>
      </w:r>
      <w:r w:rsidR="00DA5D64" w:rsidRPr="00D951F3">
        <w:t>vorkonfiguriert.</w:t>
      </w:r>
    </w:p>
    <w:p w14:paraId="44FA9DB8" w14:textId="77CAD553" w:rsidR="00FD65D7" w:rsidRPr="00D951F3" w:rsidRDefault="00FD65D7" w:rsidP="00FD65D7">
      <w:pPr>
        <w:pStyle w:val="Default"/>
        <w:ind w:left="720"/>
        <w:rPr>
          <w:u w:val="single"/>
        </w:rPr>
      </w:pPr>
      <w:r w:rsidRPr="00D951F3">
        <w:rPr>
          <w:color w:val="000000" w:themeColor="text1"/>
        </w:rPr>
        <w:lastRenderedPageBreak/>
        <w:t>Den Nutzerinnen und Nutzern der mobilen Endgeräte und des ggf. mitausgelieferten Zubehörs ist es untersagt, die vorkonfigurierten Maßnahmen</w:t>
      </w:r>
      <w:r w:rsidR="00097FAB">
        <w:rPr>
          <w:color w:val="000000" w:themeColor="text1"/>
        </w:rPr>
        <w:t xml:space="preserve"> (z. B. die Firewall)</w:t>
      </w:r>
      <w:r w:rsidRPr="00D951F3">
        <w:rPr>
          <w:color w:val="000000" w:themeColor="text1"/>
        </w:rPr>
        <w:t xml:space="preserve"> zu deaktivieren oder zu ändern.</w:t>
      </w:r>
      <w:r w:rsidRPr="00D951F3">
        <w:rPr>
          <w:u w:val="single"/>
        </w:rPr>
        <w:t xml:space="preserve"> </w:t>
      </w:r>
    </w:p>
    <w:p w14:paraId="5D817695" w14:textId="611E82D2" w:rsidR="00FD65D7" w:rsidRPr="00D951F3" w:rsidRDefault="00FD65D7" w:rsidP="00FD65D7">
      <w:pPr>
        <w:pStyle w:val="Default"/>
        <w:ind w:left="720"/>
        <w:rPr>
          <w:color w:val="000000" w:themeColor="text1"/>
        </w:rPr>
      </w:pPr>
      <w:r w:rsidRPr="00D951F3">
        <w:rPr>
          <w:color w:val="000000" w:themeColor="text1"/>
        </w:rPr>
        <w:t>Die Verbindung zum Internet sollte nur über vertrauenswürdige Netzwerke erfolgen z. B. über das Netzwer</w:t>
      </w:r>
      <w:r w:rsidR="00DA5D64" w:rsidRPr="00D951F3">
        <w:rPr>
          <w:color w:val="000000" w:themeColor="text1"/>
        </w:rPr>
        <w:t>k der Schule, das eigene</w:t>
      </w:r>
      <w:r w:rsidR="00C558F0">
        <w:rPr>
          <w:color w:val="000000" w:themeColor="text1"/>
        </w:rPr>
        <w:t>, nach dem Stand der Technik verschlüsselte</w:t>
      </w:r>
      <w:r w:rsidR="00DA5D64" w:rsidRPr="00D951F3">
        <w:rPr>
          <w:color w:val="000000" w:themeColor="text1"/>
        </w:rPr>
        <w:t xml:space="preserve"> WLAN zu</w:t>
      </w:r>
      <w:r w:rsidRPr="00D951F3">
        <w:rPr>
          <w:color w:val="000000" w:themeColor="text1"/>
        </w:rPr>
        <w:t>hause oder einen Hotspot des eigenen Mobiltelefons. Bestehen Zweifel über die Sicherheit der zur Verfügung stehenden Netz</w:t>
      </w:r>
      <w:r w:rsidR="00DA5D64" w:rsidRPr="00D951F3">
        <w:rPr>
          <w:color w:val="000000" w:themeColor="text1"/>
        </w:rPr>
        <w:t>werke (z.</w:t>
      </w:r>
      <w:r w:rsidR="004C6830">
        <w:rPr>
          <w:color w:val="000000" w:themeColor="text1"/>
        </w:rPr>
        <w:t xml:space="preserve"> </w:t>
      </w:r>
      <w:r w:rsidR="00DA5D64" w:rsidRPr="00D951F3">
        <w:rPr>
          <w:color w:val="000000" w:themeColor="text1"/>
        </w:rPr>
        <w:t>B. öffentliche Netzwerke in Bahnhöfen oder Städten</w:t>
      </w:r>
      <w:r w:rsidRPr="00D951F3">
        <w:rPr>
          <w:color w:val="000000" w:themeColor="text1"/>
        </w:rPr>
        <w:t xml:space="preserve">), sollte </w:t>
      </w:r>
      <w:r w:rsidR="00DA5D64" w:rsidRPr="00D951F3">
        <w:rPr>
          <w:color w:val="000000" w:themeColor="text1"/>
        </w:rPr>
        <w:t>keine Internetverbindung aufgebaut werden.</w:t>
      </w:r>
    </w:p>
    <w:p w14:paraId="4AAF0AB2" w14:textId="77777777" w:rsidR="00376AE5" w:rsidRPr="00D951F3" w:rsidRDefault="00376AE5" w:rsidP="00FD65D7">
      <w:pPr>
        <w:pStyle w:val="Default"/>
        <w:ind w:left="720"/>
        <w:rPr>
          <w:u w:val="single"/>
        </w:rPr>
      </w:pPr>
    </w:p>
    <w:p w14:paraId="383A1CF7" w14:textId="77777777" w:rsidR="00FD65D7" w:rsidRPr="00D951F3" w:rsidRDefault="00FD65D7" w:rsidP="00D951F3">
      <w:pPr>
        <w:pStyle w:val="Default"/>
        <w:numPr>
          <w:ilvl w:val="0"/>
          <w:numId w:val="1"/>
        </w:numPr>
        <w:rPr>
          <w:u w:val="single"/>
        </w:rPr>
      </w:pPr>
      <w:r w:rsidRPr="00D951F3">
        <w:rPr>
          <w:u w:val="single"/>
        </w:rPr>
        <w:t>Softwareinstallation</w:t>
      </w:r>
    </w:p>
    <w:p w14:paraId="28760274" w14:textId="77777777" w:rsidR="00B22E7E" w:rsidRPr="00D951F3" w:rsidRDefault="008B5B78" w:rsidP="00B22E7E">
      <w:pPr>
        <w:pStyle w:val="Default"/>
        <w:ind w:left="720"/>
      </w:pPr>
      <w:r w:rsidRPr="00D951F3">
        <w:t>Durch die Lehrkraft selbst darf nur von der</w:t>
      </w:r>
      <w:r w:rsidR="00B22E7E" w:rsidRPr="00D951F3">
        <w:t xml:space="preserve"> Schulleitung geprüfte und freigegebene zusätzliche Software installiert werden.</w:t>
      </w:r>
    </w:p>
    <w:p w14:paraId="59F9B830" w14:textId="720766FA" w:rsidR="00835AEC" w:rsidRPr="00D951F3" w:rsidRDefault="00FD65D7" w:rsidP="00FD65D7">
      <w:pPr>
        <w:pStyle w:val="Default"/>
        <w:ind w:left="720"/>
        <w:rPr>
          <w:color w:val="000000" w:themeColor="text1"/>
        </w:rPr>
      </w:pPr>
      <w:r w:rsidRPr="00D951F3">
        <w:rPr>
          <w:color w:val="000000" w:themeColor="text1"/>
        </w:rPr>
        <w:t xml:space="preserve">Im Falle von kostenpflichtiger Software entscheidet die Schulleitung </w:t>
      </w:r>
      <w:r w:rsidR="00C8279B">
        <w:rPr>
          <w:color w:val="000000" w:themeColor="text1"/>
        </w:rPr>
        <w:t xml:space="preserve">nach Anhörung der Fachkonferenz </w:t>
      </w:r>
      <w:r w:rsidRPr="00D951F3">
        <w:rPr>
          <w:color w:val="000000" w:themeColor="text1"/>
        </w:rPr>
        <w:t xml:space="preserve">über die Finanzierung. </w:t>
      </w:r>
    </w:p>
    <w:p w14:paraId="5C1BF0D6" w14:textId="77777777" w:rsidR="00FD65D7" w:rsidRPr="00D951F3" w:rsidRDefault="00FD65D7" w:rsidP="00FD65D7">
      <w:pPr>
        <w:pStyle w:val="Default"/>
        <w:ind w:left="720"/>
        <w:rPr>
          <w:u w:val="single"/>
        </w:rPr>
      </w:pPr>
    </w:p>
    <w:p w14:paraId="36F3350F" w14:textId="77777777" w:rsidR="00FD65D7" w:rsidRPr="00D951F3" w:rsidRDefault="00FD65D7" w:rsidP="00D951F3">
      <w:pPr>
        <w:pStyle w:val="Default"/>
        <w:numPr>
          <w:ilvl w:val="0"/>
          <w:numId w:val="1"/>
        </w:numPr>
        <w:rPr>
          <w:u w:val="single"/>
        </w:rPr>
      </w:pPr>
      <w:r w:rsidRPr="00D951F3">
        <w:rPr>
          <w:u w:val="single"/>
        </w:rPr>
        <w:t xml:space="preserve">Weitere Sicherheitsmaßnahmen </w:t>
      </w:r>
    </w:p>
    <w:p w14:paraId="2B4748D5" w14:textId="5056D618" w:rsidR="00FD65D7" w:rsidRPr="00D951F3" w:rsidRDefault="00FD65D7" w:rsidP="00FD65D7">
      <w:pPr>
        <w:pStyle w:val="Default"/>
        <w:ind w:left="720"/>
        <w:rPr>
          <w:u w:val="single"/>
        </w:rPr>
      </w:pPr>
      <w:r w:rsidRPr="00D951F3">
        <w:rPr>
          <w:color w:val="000000" w:themeColor="text1"/>
        </w:rPr>
        <w:t>Damit automatische Updates auf ein Endgerät heruntergeladen und eingespielt werden könne</w:t>
      </w:r>
      <w:r w:rsidR="00CF0278">
        <w:rPr>
          <w:color w:val="000000" w:themeColor="text1"/>
        </w:rPr>
        <w:t xml:space="preserve">n, muss das Endgerät regelmäßig (einmal pro Woche außerhalb der Urlaubs- und Ferienzeiten) </w:t>
      </w:r>
      <w:r w:rsidRPr="00D951F3">
        <w:rPr>
          <w:color w:val="000000" w:themeColor="text1"/>
        </w:rPr>
        <w:t>mit dem Internet verbunden werden. Anfragen des Betriebssystems oder von installierter Software zur Installation von Updates sind grundsätzlich</w:t>
      </w:r>
      <w:r w:rsidR="005F5B9C" w:rsidRPr="00D951F3">
        <w:rPr>
          <w:color w:val="000000" w:themeColor="text1"/>
        </w:rPr>
        <w:t xml:space="preserve"> innerhalb weniger Tage</w:t>
      </w:r>
      <w:r w:rsidRPr="00D951F3">
        <w:rPr>
          <w:color w:val="000000" w:themeColor="text1"/>
        </w:rPr>
        <w:t xml:space="preserve"> zu bestätigen.</w:t>
      </w:r>
    </w:p>
    <w:p w14:paraId="68C1D8AF" w14:textId="77777777" w:rsidR="00FD65D7" w:rsidRPr="00D951F3" w:rsidRDefault="00FD65D7" w:rsidP="00376AE5">
      <w:pPr>
        <w:pStyle w:val="Default"/>
        <w:ind w:left="720"/>
        <w:rPr>
          <w:color w:val="000000" w:themeColor="text1"/>
        </w:rPr>
      </w:pPr>
      <w:r w:rsidRPr="00D951F3">
        <w:rPr>
          <w:color w:val="000000" w:themeColor="text1"/>
        </w:rPr>
        <w:t xml:space="preserve">Die Sicherung der individuell von der Nutzerin oder dem Nutzer vorgenommener Einstellungen, die Installation individueller Programme und Anwendungen wie auch die regelmäßige Erstellung von Backups der Daten und Dokumente obliegt in der eigenen Verantwortung. </w:t>
      </w:r>
    </w:p>
    <w:p w14:paraId="4FA4CFCD" w14:textId="06D8257D" w:rsidR="00FD65D7" w:rsidRDefault="00664FA7" w:rsidP="008909E3">
      <w:pPr>
        <w:pStyle w:val="Default"/>
        <w:ind w:left="720"/>
        <w:rPr>
          <w:color w:val="000000" w:themeColor="text1"/>
        </w:rPr>
      </w:pPr>
      <w:r w:rsidRPr="00D951F3">
        <w:rPr>
          <w:color w:val="000000" w:themeColor="text1"/>
        </w:rPr>
        <w:t xml:space="preserve">Die </w:t>
      </w:r>
      <w:r w:rsidR="00E86E35" w:rsidRPr="00D951F3">
        <w:rPr>
          <w:color w:val="000000" w:themeColor="text1"/>
        </w:rPr>
        <w:t>§</w:t>
      </w:r>
      <w:r w:rsidRPr="00D951F3">
        <w:rPr>
          <w:color w:val="000000" w:themeColor="text1"/>
        </w:rPr>
        <w:t xml:space="preserve">§ 30 Abs. 1 </w:t>
      </w:r>
      <w:r w:rsidR="005B0FB4" w:rsidRPr="00D951F3">
        <w:rPr>
          <w:color w:val="000000" w:themeColor="text1"/>
        </w:rPr>
        <w:t xml:space="preserve">Satz 2 SchulG </w:t>
      </w:r>
      <w:r w:rsidR="005B0FB4">
        <w:rPr>
          <w:color w:val="000000" w:themeColor="text1"/>
        </w:rPr>
        <w:t xml:space="preserve">i. V. m. Anlage 2 SchulDSVO (zulässiger Datenumfang), § 10 Abs. 1 Satz 3 Nr. 1 (Klassenarbeiten) und </w:t>
      </w:r>
      <w:r w:rsidRPr="00D951F3">
        <w:rPr>
          <w:color w:val="000000" w:themeColor="text1"/>
        </w:rPr>
        <w:t xml:space="preserve">15 SchulDSVO </w:t>
      </w:r>
      <w:r w:rsidR="005B0FB4">
        <w:rPr>
          <w:color w:val="000000" w:themeColor="text1"/>
        </w:rPr>
        <w:t>(</w:t>
      </w:r>
      <w:r w:rsidR="005B0FB4" w:rsidRPr="005B0FB4">
        <w:rPr>
          <w:color w:val="000000" w:themeColor="text1"/>
        </w:rPr>
        <w:t>Persönliche Pflicht zur Löschung</w:t>
      </w:r>
      <w:r w:rsidR="005B0FB4">
        <w:rPr>
          <w:color w:val="000000" w:themeColor="text1"/>
        </w:rPr>
        <w:t xml:space="preserve">) </w:t>
      </w:r>
      <w:r w:rsidRPr="00D951F3">
        <w:rPr>
          <w:color w:val="000000" w:themeColor="text1"/>
        </w:rPr>
        <w:t xml:space="preserve">sind </w:t>
      </w:r>
      <w:r w:rsidR="00E86E35" w:rsidRPr="00D951F3">
        <w:rPr>
          <w:color w:val="000000" w:themeColor="text1"/>
        </w:rPr>
        <w:t>zu beachten.</w:t>
      </w:r>
    </w:p>
    <w:p w14:paraId="2D22DA45" w14:textId="6A7689D4" w:rsidR="00565073" w:rsidRPr="008909E3" w:rsidRDefault="00746900" w:rsidP="008909E3">
      <w:pPr>
        <w:pStyle w:val="Default"/>
        <w:ind w:left="720"/>
        <w:rPr>
          <w:color w:val="000000" w:themeColor="text1"/>
        </w:rPr>
      </w:pPr>
      <w:r>
        <w:rPr>
          <w:color w:val="000000" w:themeColor="text1"/>
        </w:rPr>
        <w:t xml:space="preserve">Im Browser sollten </w:t>
      </w:r>
      <w:r w:rsidR="00CC1A00">
        <w:rPr>
          <w:color w:val="000000" w:themeColor="text1"/>
        </w:rPr>
        <w:t xml:space="preserve">Cookies und andere Webseitendaten sowie lokal zwischengespeicherte Webseiteninhalte (Cache) und Verläufe </w:t>
      </w:r>
      <w:r>
        <w:rPr>
          <w:color w:val="000000" w:themeColor="text1"/>
        </w:rPr>
        <w:t>regelmäßig gelöscht werde</w:t>
      </w:r>
      <w:bookmarkStart w:id="0" w:name="_GoBack"/>
      <w:bookmarkEnd w:id="0"/>
      <w:r>
        <w:rPr>
          <w:color w:val="000000" w:themeColor="text1"/>
        </w:rPr>
        <w:t xml:space="preserve">n. </w:t>
      </w:r>
    </w:p>
    <w:p w14:paraId="00C4C637" w14:textId="77777777" w:rsidR="00752F9D" w:rsidRPr="00D951F3" w:rsidRDefault="00752F9D" w:rsidP="00D951F3">
      <w:pPr>
        <w:pStyle w:val="Default"/>
      </w:pPr>
    </w:p>
    <w:p w14:paraId="17F4DE2F" w14:textId="77777777" w:rsidR="00376AE5" w:rsidRPr="00D951F3" w:rsidRDefault="00FD65D7" w:rsidP="00D951F3">
      <w:pPr>
        <w:pStyle w:val="Default"/>
        <w:numPr>
          <w:ilvl w:val="0"/>
          <w:numId w:val="1"/>
        </w:numPr>
        <w:rPr>
          <w:color w:val="000000" w:themeColor="text1"/>
          <w:u w:val="single"/>
        </w:rPr>
      </w:pPr>
      <w:r w:rsidRPr="00D951F3">
        <w:rPr>
          <w:color w:val="000000" w:themeColor="text1"/>
          <w:u w:val="single"/>
        </w:rPr>
        <w:t>Schäden und Haftung</w:t>
      </w:r>
    </w:p>
    <w:p w14:paraId="27FC7F61" w14:textId="4B48AB2E" w:rsidR="00376AE5" w:rsidRPr="00D951F3" w:rsidRDefault="00FD65D7" w:rsidP="00376AE5">
      <w:pPr>
        <w:pStyle w:val="Default"/>
        <w:ind w:left="720"/>
        <w:rPr>
          <w:color w:val="000000" w:themeColor="text1"/>
        </w:rPr>
      </w:pPr>
      <w:r w:rsidRPr="00D951F3">
        <w:t xml:space="preserve">Störungen oder Schäden an der Ausstattung wie auch deren Verlust </w:t>
      </w:r>
      <w:r w:rsidR="00376AE5" w:rsidRPr="00D951F3">
        <w:t>sind über den IQSH Helpdesk</w:t>
      </w:r>
      <w:r w:rsidRPr="00D951F3">
        <w:t xml:space="preserve"> unmittelbar anzuzeigen. </w:t>
      </w:r>
    </w:p>
    <w:p w14:paraId="1CAF641A" w14:textId="77777777" w:rsidR="00FD65D7" w:rsidRPr="00D951F3" w:rsidRDefault="00FD65D7" w:rsidP="00376AE5">
      <w:pPr>
        <w:pStyle w:val="Default"/>
        <w:ind w:left="720"/>
        <w:rPr>
          <w:color w:val="000000" w:themeColor="text1"/>
        </w:rPr>
      </w:pPr>
      <w:r w:rsidRPr="00D951F3">
        <w:rPr>
          <w:color w:val="000000" w:themeColor="text1"/>
        </w:rPr>
        <w:t>Kosten für die Beseitigung von Schäden, die vorsätzlich oder grob fahrlässig entstanden sind, werden der Nutzerin oder dem Nutzer in Rechnung gestellt (vg</w:t>
      </w:r>
      <w:r w:rsidR="008E1735" w:rsidRPr="00D951F3">
        <w:rPr>
          <w:color w:val="000000" w:themeColor="text1"/>
        </w:rPr>
        <w:t>l. § 48 BeamtStG</w:t>
      </w:r>
      <w:r w:rsidRPr="00D951F3">
        <w:rPr>
          <w:color w:val="000000" w:themeColor="text1"/>
        </w:rPr>
        <w:t xml:space="preserve"> und § 3 Abs. 7 TV-L).</w:t>
      </w:r>
    </w:p>
    <w:p w14:paraId="0F9FE997" w14:textId="77777777" w:rsidR="00752F9D" w:rsidRDefault="00752F9D" w:rsidP="00752F9D">
      <w:pPr>
        <w:pStyle w:val="Default"/>
      </w:pPr>
    </w:p>
    <w:p w14:paraId="04D1012A" w14:textId="77777777" w:rsidR="005840CC" w:rsidRDefault="005840CC" w:rsidP="00752F9D">
      <w:pPr>
        <w:pStyle w:val="Default"/>
      </w:pPr>
    </w:p>
    <w:p w14:paraId="61266609" w14:textId="77777777" w:rsidR="00376AE5" w:rsidRDefault="00376AE5" w:rsidP="00376AE5">
      <w:pPr>
        <w:rPr>
          <w:rFonts w:ascii="Arial" w:hAnsi="Arial" w:cs="Arial"/>
        </w:rPr>
      </w:pPr>
    </w:p>
    <w:p w14:paraId="19254B30" w14:textId="77777777" w:rsidR="00FD65D7" w:rsidRDefault="00FD65D7" w:rsidP="00FD65D7">
      <w:pPr>
        <w:pStyle w:val="Default"/>
        <w:rPr>
          <w:rFonts w:ascii="Calibri" w:hAnsi="Calibri" w:cs="Calibri"/>
          <w:color w:val="000000" w:themeColor="text1"/>
          <w:sz w:val="22"/>
        </w:rPr>
      </w:pPr>
    </w:p>
    <w:p w14:paraId="46C23F69" w14:textId="77777777" w:rsidR="00FD65D7" w:rsidRDefault="00FD65D7" w:rsidP="00FD65D7">
      <w:pPr>
        <w:pStyle w:val="Default"/>
        <w:rPr>
          <w:rFonts w:ascii="Calibri" w:hAnsi="Calibri" w:cs="Calibri"/>
          <w:color w:val="000000" w:themeColor="text1"/>
          <w:sz w:val="22"/>
        </w:rPr>
      </w:pPr>
    </w:p>
    <w:p w14:paraId="25078A38" w14:textId="77777777" w:rsidR="00FD65D7" w:rsidRDefault="00FD65D7" w:rsidP="00FD65D7">
      <w:pPr>
        <w:pStyle w:val="Default"/>
        <w:rPr>
          <w:rFonts w:ascii="Calibri" w:hAnsi="Calibri" w:cs="Calibri"/>
          <w:color w:val="000000" w:themeColor="text1"/>
          <w:sz w:val="22"/>
        </w:rPr>
      </w:pPr>
    </w:p>
    <w:p w14:paraId="2D4E4F7A" w14:textId="77777777" w:rsidR="007B0E01" w:rsidRPr="00FD65D7" w:rsidRDefault="007B0E01" w:rsidP="00FD65D7">
      <w:pPr>
        <w:pStyle w:val="Default"/>
        <w:rPr>
          <w:rFonts w:ascii="Calibri" w:hAnsi="Calibri" w:cs="Calibri"/>
          <w:color w:val="000000" w:themeColor="text1"/>
          <w:sz w:val="22"/>
        </w:rPr>
      </w:pPr>
    </w:p>
    <w:sectPr w:rsidR="007B0E01" w:rsidRPr="00FD65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0723" w14:textId="77777777" w:rsidR="001F295D" w:rsidRDefault="001F295D" w:rsidP="00545AF1">
      <w:r>
        <w:separator/>
      </w:r>
    </w:p>
  </w:endnote>
  <w:endnote w:type="continuationSeparator" w:id="0">
    <w:p w14:paraId="4C15882F" w14:textId="77777777" w:rsidR="001F295D" w:rsidRDefault="001F295D" w:rsidP="005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BD71" w14:textId="77777777" w:rsidR="001F295D" w:rsidRDefault="001F295D" w:rsidP="00545AF1">
      <w:r>
        <w:separator/>
      </w:r>
    </w:p>
  </w:footnote>
  <w:footnote w:type="continuationSeparator" w:id="0">
    <w:p w14:paraId="7CD9F9CF" w14:textId="77777777" w:rsidR="001F295D" w:rsidRDefault="001F295D" w:rsidP="00545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21F48"/>
    <w:multiLevelType w:val="multilevel"/>
    <w:tmpl w:val="445878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83D6A88"/>
    <w:multiLevelType w:val="hybridMultilevel"/>
    <w:tmpl w:val="3F365114"/>
    <w:lvl w:ilvl="0" w:tplc="04070001">
      <w:start w:val="1"/>
      <w:numFmt w:val="bullet"/>
      <w:lvlText w:val=""/>
      <w:lvlJc w:val="left"/>
      <w:pPr>
        <w:ind w:left="1423" w:hanging="360"/>
      </w:pPr>
      <w:rPr>
        <w:rFonts w:ascii="Symbol" w:hAnsi="Symbol" w:hint="default"/>
      </w:rPr>
    </w:lvl>
    <w:lvl w:ilvl="1" w:tplc="04070003">
      <w:start w:val="1"/>
      <w:numFmt w:val="bullet"/>
      <w:lvlText w:val="o"/>
      <w:lvlJc w:val="left"/>
      <w:pPr>
        <w:ind w:left="2143" w:hanging="360"/>
      </w:pPr>
      <w:rPr>
        <w:rFonts w:ascii="Courier New" w:hAnsi="Courier New" w:cs="Courier New" w:hint="default"/>
      </w:rPr>
    </w:lvl>
    <w:lvl w:ilvl="2" w:tplc="04070005">
      <w:start w:val="1"/>
      <w:numFmt w:val="bullet"/>
      <w:lvlText w:val=""/>
      <w:lvlJc w:val="left"/>
      <w:pPr>
        <w:ind w:left="2863" w:hanging="360"/>
      </w:pPr>
      <w:rPr>
        <w:rFonts w:ascii="Wingdings" w:hAnsi="Wingdings" w:hint="default"/>
      </w:rPr>
    </w:lvl>
    <w:lvl w:ilvl="3" w:tplc="04070001">
      <w:start w:val="1"/>
      <w:numFmt w:val="bullet"/>
      <w:lvlText w:val=""/>
      <w:lvlJc w:val="left"/>
      <w:pPr>
        <w:ind w:left="3583" w:hanging="360"/>
      </w:pPr>
      <w:rPr>
        <w:rFonts w:ascii="Symbol" w:hAnsi="Symbol" w:hint="default"/>
      </w:rPr>
    </w:lvl>
    <w:lvl w:ilvl="4" w:tplc="04070003">
      <w:start w:val="1"/>
      <w:numFmt w:val="bullet"/>
      <w:lvlText w:val="o"/>
      <w:lvlJc w:val="left"/>
      <w:pPr>
        <w:ind w:left="4303" w:hanging="360"/>
      </w:pPr>
      <w:rPr>
        <w:rFonts w:ascii="Courier New" w:hAnsi="Courier New" w:cs="Courier New" w:hint="default"/>
      </w:rPr>
    </w:lvl>
    <w:lvl w:ilvl="5" w:tplc="04070005">
      <w:start w:val="1"/>
      <w:numFmt w:val="bullet"/>
      <w:lvlText w:val=""/>
      <w:lvlJc w:val="left"/>
      <w:pPr>
        <w:ind w:left="5023" w:hanging="360"/>
      </w:pPr>
      <w:rPr>
        <w:rFonts w:ascii="Wingdings" w:hAnsi="Wingdings" w:hint="default"/>
      </w:rPr>
    </w:lvl>
    <w:lvl w:ilvl="6" w:tplc="04070001">
      <w:start w:val="1"/>
      <w:numFmt w:val="bullet"/>
      <w:lvlText w:val=""/>
      <w:lvlJc w:val="left"/>
      <w:pPr>
        <w:ind w:left="5743" w:hanging="360"/>
      </w:pPr>
      <w:rPr>
        <w:rFonts w:ascii="Symbol" w:hAnsi="Symbol" w:hint="default"/>
      </w:rPr>
    </w:lvl>
    <w:lvl w:ilvl="7" w:tplc="04070003">
      <w:start w:val="1"/>
      <w:numFmt w:val="bullet"/>
      <w:lvlText w:val="o"/>
      <w:lvlJc w:val="left"/>
      <w:pPr>
        <w:ind w:left="6463" w:hanging="360"/>
      </w:pPr>
      <w:rPr>
        <w:rFonts w:ascii="Courier New" w:hAnsi="Courier New" w:cs="Courier New" w:hint="default"/>
      </w:rPr>
    </w:lvl>
    <w:lvl w:ilvl="8" w:tplc="04070005">
      <w:start w:val="1"/>
      <w:numFmt w:val="bullet"/>
      <w:lvlText w:val=""/>
      <w:lvlJc w:val="left"/>
      <w:pPr>
        <w:ind w:left="7183" w:hanging="360"/>
      </w:pPr>
      <w:rPr>
        <w:rFonts w:ascii="Wingdings" w:hAnsi="Wingdings" w:hint="default"/>
      </w:rPr>
    </w:lvl>
  </w:abstractNum>
  <w:abstractNum w:abstractNumId="2" w15:restartNumberingAfterBreak="0">
    <w:nsid w:val="654F576A"/>
    <w:multiLevelType w:val="hybridMultilevel"/>
    <w:tmpl w:val="A998D358"/>
    <w:lvl w:ilvl="0" w:tplc="4F0CF0B4">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D7"/>
    <w:rsid w:val="00093E16"/>
    <w:rsid w:val="00097FAB"/>
    <w:rsid w:val="000C3DF7"/>
    <w:rsid w:val="00116296"/>
    <w:rsid w:val="00131E55"/>
    <w:rsid w:val="001436FB"/>
    <w:rsid w:val="001F295D"/>
    <w:rsid w:val="00220A4E"/>
    <w:rsid w:val="0024362D"/>
    <w:rsid w:val="0025059C"/>
    <w:rsid w:val="00251703"/>
    <w:rsid w:val="002779F8"/>
    <w:rsid w:val="00376AE5"/>
    <w:rsid w:val="00432B5A"/>
    <w:rsid w:val="00435384"/>
    <w:rsid w:val="00437680"/>
    <w:rsid w:val="004468B3"/>
    <w:rsid w:val="004547E8"/>
    <w:rsid w:val="004C6830"/>
    <w:rsid w:val="00545AF1"/>
    <w:rsid w:val="00565073"/>
    <w:rsid w:val="005840CC"/>
    <w:rsid w:val="00597F67"/>
    <w:rsid w:val="005B0FB4"/>
    <w:rsid w:val="005C241F"/>
    <w:rsid w:val="005D79A6"/>
    <w:rsid w:val="005F5B9C"/>
    <w:rsid w:val="00654291"/>
    <w:rsid w:val="0066240C"/>
    <w:rsid w:val="00664FA7"/>
    <w:rsid w:val="006A3542"/>
    <w:rsid w:val="00705217"/>
    <w:rsid w:val="00746900"/>
    <w:rsid w:val="00752F9D"/>
    <w:rsid w:val="00781D08"/>
    <w:rsid w:val="007919F9"/>
    <w:rsid w:val="007B0E01"/>
    <w:rsid w:val="008214ED"/>
    <w:rsid w:val="00835AEC"/>
    <w:rsid w:val="008909E3"/>
    <w:rsid w:val="008B5B78"/>
    <w:rsid w:val="008E1735"/>
    <w:rsid w:val="00902F24"/>
    <w:rsid w:val="00941E40"/>
    <w:rsid w:val="0097574D"/>
    <w:rsid w:val="009E0204"/>
    <w:rsid w:val="00A97990"/>
    <w:rsid w:val="00B20499"/>
    <w:rsid w:val="00B22E7E"/>
    <w:rsid w:val="00B31110"/>
    <w:rsid w:val="00B446A2"/>
    <w:rsid w:val="00BB3946"/>
    <w:rsid w:val="00BC309D"/>
    <w:rsid w:val="00BE2DDC"/>
    <w:rsid w:val="00BE7AA1"/>
    <w:rsid w:val="00C558F0"/>
    <w:rsid w:val="00C7723A"/>
    <w:rsid w:val="00C8279B"/>
    <w:rsid w:val="00C902F8"/>
    <w:rsid w:val="00CC18D5"/>
    <w:rsid w:val="00CC1A00"/>
    <w:rsid w:val="00CF0278"/>
    <w:rsid w:val="00D00487"/>
    <w:rsid w:val="00D02E9B"/>
    <w:rsid w:val="00D05669"/>
    <w:rsid w:val="00D27B65"/>
    <w:rsid w:val="00D32119"/>
    <w:rsid w:val="00D951F3"/>
    <w:rsid w:val="00DA5C49"/>
    <w:rsid w:val="00DA5D64"/>
    <w:rsid w:val="00DE204C"/>
    <w:rsid w:val="00E50EF3"/>
    <w:rsid w:val="00E56B73"/>
    <w:rsid w:val="00E86E35"/>
    <w:rsid w:val="00E87C23"/>
    <w:rsid w:val="00EA5E93"/>
    <w:rsid w:val="00F02759"/>
    <w:rsid w:val="00F05275"/>
    <w:rsid w:val="00F44E94"/>
    <w:rsid w:val="00FD6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2E1E8"/>
  <w15:chartTrackingRefBased/>
  <w15:docId w15:val="{3B94512D-E236-49BF-9795-491758A5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6AE5"/>
    <w:pPr>
      <w:spacing w:after="0" w:line="240" w:lineRule="auto"/>
    </w:pPr>
    <w:rPr>
      <w:rFonts w:ascii="Courier" w:eastAsia="Times New Roman" w:hAnsi="Courier" w:cs="Times New Roman"/>
      <w:sz w:val="24"/>
      <w:szCs w:val="20"/>
    </w:rPr>
  </w:style>
  <w:style w:type="paragraph" w:styleId="berschrift4">
    <w:name w:val="heading 4"/>
    <w:basedOn w:val="Standard"/>
    <w:link w:val="berschrift4Zchn"/>
    <w:uiPriority w:val="9"/>
    <w:qFormat/>
    <w:rsid w:val="00E86E35"/>
    <w:pPr>
      <w:spacing w:before="100" w:beforeAutospacing="1" w:after="100" w:afterAutospacing="1"/>
      <w:outlineLvl w:val="3"/>
    </w:pPr>
    <w:rPr>
      <w:rFonts w:ascii="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qFormat/>
    <w:rsid w:val="00FD65D7"/>
    <w:pPr>
      <w:spacing w:after="0" w:line="240" w:lineRule="auto"/>
    </w:pPr>
    <w:rPr>
      <w:rFonts w:ascii="Arial" w:eastAsia="Times New Roman" w:hAnsi="Arial" w:cs="Arial"/>
      <w:color w:val="000000"/>
      <w:sz w:val="24"/>
      <w:szCs w:val="24"/>
      <w:lang w:eastAsia="de-DE"/>
    </w:rPr>
  </w:style>
  <w:style w:type="paragraph" w:styleId="Kommentartext">
    <w:name w:val="annotation text"/>
    <w:basedOn w:val="Standard"/>
    <w:link w:val="KommentartextZchn"/>
    <w:uiPriority w:val="99"/>
    <w:semiHidden/>
    <w:unhideWhenUsed/>
    <w:rsid w:val="00376AE5"/>
    <w:rPr>
      <w:sz w:val="20"/>
    </w:rPr>
  </w:style>
  <w:style w:type="character" w:customStyle="1" w:styleId="KommentartextZchn">
    <w:name w:val="Kommentartext Zchn"/>
    <w:basedOn w:val="Absatz-Standardschriftart"/>
    <w:link w:val="Kommentartext"/>
    <w:uiPriority w:val="99"/>
    <w:semiHidden/>
    <w:rsid w:val="00376AE5"/>
    <w:rPr>
      <w:rFonts w:ascii="Courier" w:eastAsia="Times New Roman" w:hAnsi="Courier" w:cs="Times New Roman"/>
      <w:sz w:val="20"/>
      <w:szCs w:val="20"/>
    </w:rPr>
  </w:style>
  <w:style w:type="paragraph" w:styleId="Listenabsatz">
    <w:name w:val="List Paragraph"/>
    <w:basedOn w:val="Standard"/>
    <w:uiPriority w:val="34"/>
    <w:qFormat/>
    <w:rsid w:val="00376AE5"/>
    <w:pPr>
      <w:ind w:left="720"/>
      <w:contextualSpacing/>
    </w:pPr>
  </w:style>
  <w:style w:type="character" w:styleId="Kommentarzeichen">
    <w:name w:val="annotation reference"/>
    <w:basedOn w:val="Absatz-Standardschriftart"/>
    <w:uiPriority w:val="99"/>
    <w:semiHidden/>
    <w:unhideWhenUsed/>
    <w:rsid w:val="00376AE5"/>
    <w:rPr>
      <w:sz w:val="16"/>
      <w:szCs w:val="16"/>
    </w:rPr>
  </w:style>
  <w:style w:type="paragraph" w:styleId="Sprechblasentext">
    <w:name w:val="Balloon Text"/>
    <w:basedOn w:val="Standard"/>
    <w:link w:val="SprechblasentextZchn"/>
    <w:uiPriority w:val="99"/>
    <w:semiHidden/>
    <w:unhideWhenUsed/>
    <w:rsid w:val="00376A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AE5"/>
    <w:rPr>
      <w:rFonts w:ascii="Segoe UI" w:eastAsia="Times New Roman" w:hAnsi="Segoe UI" w:cs="Segoe UI"/>
      <w:sz w:val="18"/>
      <w:szCs w:val="18"/>
    </w:rPr>
  </w:style>
  <w:style w:type="paragraph" w:styleId="Kommentarthema">
    <w:name w:val="annotation subject"/>
    <w:basedOn w:val="Kommentartext"/>
    <w:next w:val="Kommentartext"/>
    <w:link w:val="KommentarthemaZchn"/>
    <w:uiPriority w:val="99"/>
    <w:semiHidden/>
    <w:unhideWhenUsed/>
    <w:rsid w:val="00EA5E93"/>
    <w:rPr>
      <w:b/>
      <w:bCs/>
    </w:rPr>
  </w:style>
  <w:style w:type="character" w:customStyle="1" w:styleId="KommentarthemaZchn">
    <w:name w:val="Kommentarthema Zchn"/>
    <w:basedOn w:val="KommentartextZchn"/>
    <w:link w:val="Kommentarthema"/>
    <w:uiPriority w:val="99"/>
    <w:semiHidden/>
    <w:rsid w:val="00EA5E93"/>
    <w:rPr>
      <w:rFonts w:ascii="Courier" w:eastAsia="Times New Roman" w:hAnsi="Courier" w:cs="Times New Roman"/>
      <w:b/>
      <w:bCs/>
      <w:sz w:val="20"/>
      <w:szCs w:val="20"/>
    </w:rPr>
  </w:style>
  <w:style w:type="character" w:customStyle="1" w:styleId="berschrift4Zchn">
    <w:name w:val="Überschrift 4 Zchn"/>
    <w:basedOn w:val="Absatz-Standardschriftart"/>
    <w:link w:val="berschrift4"/>
    <w:uiPriority w:val="9"/>
    <w:rsid w:val="00E86E35"/>
    <w:rPr>
      <w:rFonts w:ascii="Times New Roman" w:eastAsia="Times New Roman" w:hAnsi="Times New Roman" w:cs="Times New Roman"/>
      <w:b/>
      <w:bCs/>
      <w:sz w:val="24"/>
      <w:szCs w:val="24"/>
      <w:lang w:eastAsia="de-DE"/>
    </w:rPr>
  </w:style>
  <w:style w:type="paragraph" w:styleId="Kopfzeile">
    <w:name w:val="header"/>
    <w:basedOn w:val="Standard"/>
    <w:link w:val="KopfzeileZchn"/>
    <w:uiPriority w:val="99"/>
    <w:unhideWhenUsed/>
    <w:rsid w:val="00545AF1"/>
    <w:pPr>
      <w:tabs>
        <w:tab w:val="center" w:pos="4536"/>
        <w:tab w:val="right" w:pos="9072"/>
      </w:tabs>
    </w:pPr>
  </w:style>
  <w:style w:type="character" w:customStyle="1" w:styleId="KopfzeileZchn">
    <w:name w:val="Kopfzeile Zchn"/>
    <w:basedOn w:val="Absatz-Standardschriftart"/>
    <w:link w:val="Kopfzeile"/>
    <w:uiPriority w:val="99"/>
    <w:rsid w:val="00545AF1"/>
    <w:rPr>
      <w:rFonts w:ascii="Courier" w:eastAsia="Times New Roman" w:hAnsi="Courier" w:cs="Times New Roman"/>
      <w:sz w:val="24"/>
      <w:szCs w:val="20"/>
    </w:rPr>
  </w:style>
  <w:style w:type="paragraph" w:styleId="Fuzeile">
    <w:name w:val="footer"/>
    <w:basedOn w:val="Standard"/>
    <w:link w:val="FuzeileZchn"/>
    <w:uiPriority w:val="99"/>
    <w:unhideWhenUsed/>
    <w:rsid w:val="00545AF1"/>
    <w:pPr>
      <w:tabs>
        <w:tab w:val="center" w:pos="4536"/>
        <w:tab w:val="right" w:pos="9072"/>
      </w:tabs>
    </w:pPr>
  </w:style>
  <w:style w:type="character" w:customStyle="1" w:styleId="FuzeileZchn">
    <w:name w:val="Fußzeile Zchn"/>
    <w:basedOn w:val="Absatz-Standardschriftart"/>
    <w:link w:val="Fuzeile"/>
    <w:uiPriority w:val="99"/>
    <w:rsid w:val="00545AF1"/>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6521">
      <w:bodyDiv w:val="1"/>
      <w:marLeft w:val="0"/>
      <w:marRight w:val="0"/>
      <w:marTop w:val="0"/>
      <w:marBottom w:val="0"/>
      <w:divBdr>
        <w:top w:val="none" w:sz="0" w:space="0" w:color="auto"/>
        <w:left w:val="none" w:sz="0" w:space="0" w:color="auto"/>
        <w:bottom w:val="none" w:sz="0" w:space="0" w:color="auto"/>
        <w:right w:val="none" w:sz="0" w:space="0" w:color="auto"/>
      </w:divBdr>
    </w:div>
    <w:div w:id="12584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CBE7-7547-49A8-92CA-AD558549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Natalie (2) (MBWK)</dc:creator>
  <cp:keywords/>
  <dc:description/>
  <cp:lastModifiedBy>Christoph Tollning</cp:lastModifiedBy>
  <cp:revision>5</cp:revision>
  <dcterms:created xsi:type="dcterms:W3CDTF">2022-01-26T13:37:00Z</dcterms:created>
  <dcterms:modified xsi:type="dcterms:W3CDTF">2022-01-26T14:12:00Z</dcterms:modified>
</cp:coreProperties>
</file>